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4455"/>
        <w:gridCol w:w="7350"/>
        <w:tblGridChange w:id="0">
          <w:tblGrid>
            <w:gridCol w:w="2820"/>
            <w:gridCol w:w="4455"/>
            <w:gridCol w:w="735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TECNOLOGIA TERZA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229.5648193359375" w:right="153.3746337890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46240997314" w:lineRule="auto"/>
              <w:ind w:left="122.1722412109375" w:right="48.4197998046875" w:firstLine="9.16320800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la struttura e  le funzioni di semplici  oggetti e strumenti di uso  quotidiano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-Oggetti di uso comune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Previsione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308078765869" w:lineRule="auto"/>
              <w:ind w:left="121.57470703125" w:right="47.822265625" w:firstLine="10.75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Pianificare e realizzare  semplici oggetti e  interventi di decorazione  o di manutenzione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Manufatti di vario genere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05320739746" w:lineRule="auto"/>
              <w:ind w:left="121.57470703125" w:right="47.623291015625" w:firstLine="2.3901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e usare gli  strumenti per la 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-Codici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struzioni per realizzare disegni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iochi su reticoli sia in modalità plugged che unplugged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2999267578125" w:lineRule="auto"/>
              <w:ind w:left="117.9888916015625" w:right="47.2247314453125" w:firstLine="5.9759521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Comprendere il  funzionamento di  strumenti digitali e  utilizzarli in vari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1.564331054687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1.56433105468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-Programmi di pubblica utilità: Word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689.7244094488196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