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3360"/>
        <w:gridCol w:w="7935"/>
        <w:tblGridChange w:id="0">
          <w:tblGrid>
            <w:gridCol w:w="3330"/>
            <w:gridCol w:w="3360"/>
            <w:gridCol w:w="7935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MATEMATICA QUARTA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21.5643310546875" w:firstLine="0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Contenuti </w:t>
            </w:r>
          </w:p>
        </w:tc>
      </w:tr>
      <w:tr>
        <w:trPr>
          <w:cantSplit w:val="0"/>
          <w:trHeight w:val="698.3996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Numero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20.5686950683593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Operare con i numeri naturali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-Numero naturale nell’ambito delle centinaia di migliaia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-Addizioni, sottrazioni, moltiplicazioni e divisioni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-Addizioni sottrazioni, moltiplicazioni con i numeri decimali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-Moltiplicazioni e divisioni  per 10,100,1000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-Simbologia: &lt;, &gt;, =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-Confronti, ordinamenti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-Frazioni complementari, proprie, improprie, apparenti, equivalenti e decimali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-Calcolo di frazione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-Proprietà commutativa, associativa, dissociativa e invariantiva</w:t>
            </w:r>
          </w:p>
        </w:tc>
      </w:tr>
      <w:tr>
        <w:trPr>
          <w:cantSplit w:val="0"/>
          <w:trHeight w:val="931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31.23316764831543" w:lineRule="auto"/>
              <w:ind w:left="120.76797485351562" w:right="50.9033203125" w:firstLine="7.17102050781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Leggere e scrivere numeri in  notazione decimale, avendo consapevolezza del valore  posizionale delle cifre.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Spazio e figure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21.56448364257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Costruire e disegnare le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4.353485107421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principali figure geometriche e calcolare il perimetro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-Angoli: retto, acuto, piatto, ottuso, giro; concavo-convesso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-Poligoni: triangoli e quadrilateri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-Simmetria obliqua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-Perimetro di poligoni</w:t>
            </w:r>
          </w:p>
        </w:tc>
      </w:tr>
      <w:tr>
        <w:trPr>
          <w:cantSplit w:val="0"/>
          <w:trHeight w:val="931.6009521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27.3414611816406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Misurare grandezze utilizzando i più comuni strumenti di misura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-Misure convenzionali: lunghezza, capacità, peso/massa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-Equivalenze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-Sistema monetario</w:t>
            </w:r>
          </w:p>
        </w:tc>
      </w:tr>
      <w:tr>
        <w:trPr>
          <w:cantSplit w:val="0"/>
          <w:trHeight w:val="1389.59930419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Dati e 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previsioni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30.3294372558593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Rappresentare relazioni e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19.7718811035156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dati, utilizzandoli per ricavare informazioni e prendere decisioni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-Connettivi logici e/ o /non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-Diagrammi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-Istogrammi, areogrammi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-Frequenza, moda, media, mediana</w:t>
            </w:r>
          </w:p>
        </w:tc>
      </w:tr>
      <w:tr>
        <w:trPr>
          <w:cantSplit w:val="0"/>
          <w:trHeight w:val="1159.800109863281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Situazioni 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problematiche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27.93899536132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Leggere, comprendere, risolvere problemi matematici e descrivere il procedimento utilizzato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-Compravendita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-Peso lordo, netto, tara</w:t>
            </w:r>
          </w:p>
        </w:tc>
      </w:tr>
      <w:tr>
        <w:trPr>
          <w:cantSplit w:val="0"/>
          <w:trHeight w:val="700.800628662109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30.92697143554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situazioni concrete intuire e calcolare il più probabile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-Probabilità</w:t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1900" w:w="16820" w:orient="landscape"/>
      <w:pgMar w:bottom="293.14960629921416" w:top="425.1968503937008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